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7E" w:rsidRDefault="0082407E" w:rsidP="0082407E">
      <w:pPr>
        <w:tabs>
          <w:tab w:val="left" w:pos="4304"/>
        </w:tabs>
        <w:jc w:val="both"/>
        <w:rPr>
          <w:rFonts w:ascii="Arial" w:hAnsi="Arial" w:cs="Arial"/>
          <w:b/>
          <w:sz w:val="24"/>
        </w:rPr>
      </w:pPr>
      <w:bookmarkStart w:id="0" w:name="_GoBack"/>
      <w:bookmarkEnd w:id="0"/>
      <w:r>
        <w:rPr>
          <w:rFonts w:ascii="Arial" w:hAnsi="Arial" w:cs="Arial"/>
          <w:b/>
          <w:sz w:val="24"/>
        </w:rPr>
        <w:t xml:space="preserve">CONTRATO No. </w:t>
      </w:r>
      <w:r w:rsidR="00AB77F6">
        <w:rPr>
          <w:rFonts w:ascii="Arial" w:hAnsi="Arial" w:cs="Arial"/>
          <w:b/>
          <w:sz w:val="24"/>
        </w:rPr>
        <w:t>51</w:t>
      </w:r>
      <w:r>
        <w:rPr>
          <w:rFonts w:ascii="Arial" w:hAnsi="Arial" w:cs="Arial"/>
          <w:b/>
          <w:sz w:val="24"/>
        </w:rPr>
        <w:t>/2017 REFERENTE AO FORNECIMENTO PARCELADO MATERIAIS DESCARTÁVEIS PARA A CÂMARA DE VEREADORES DE PIRACICABA.</w:t>
      </w:r>
    </w:p>
    <w:p w:rsidR="0082407E" w:rsidRDefault="0082407E" w:rsidP="0082407E">
      <w:pPr>
        <w:tabs>
          <w:tab w:val="left" w:pos="2582"/>
          <w:tab w:val="left" w:pos="4304"/>
          <w:tab w:val="left" w:pos="4511"/>
        </w:tabs>
        <w:jc w:val="center"/>
        <w:rPr>
          <w:rFonts w:ascii="Arial" w:hAnsi="Arial" w:cs="Arial"/>
          <w:b/>
          <w:sz w:val="24"/>
        </w:rPr>
      </w:pPr>
    </w:p>
    <w:p w:rsidR="0082407E" w:rsidRDefault="0082407E" w:rsidP="0082407E">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13/2017</w:t>
      </w:r>
    </w:p>
    <w:p w:rsidR="0082407E" w:rsidRDefault="0082407E" w:rsidP="0082407E">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423/2017</w:t>
      </w:r>
    </w:p>
    <w:p w:rsidR="0082407E" w:rsidRDefault="0082407E" w:rsidP="0082407E">
      <w:pPr>
        <w:tabs>
          <w:tab w:val="left" w:pos="2582"/>
          <w:tab w:val="left" w:pos="4304"/>
          <w:tab w:val="left" w:pos="4511"/>
          <w:tab w:val="left" w:pos="5444"/>
        </w:tabs>
        <w:jc w:val="center"/>
        <w:rPr>
          <w:rFonts w:ascii="Arial" w:hAnsi="Arial" w:cs="Arial"/>
          <w:b/>
          <w:sz w:val="24"/>
          <w:szCs w:val="24"/>
        </w:rPr>
      </w:pPr>
    </w:p>
    <w:p w:rsidR="0082407E" w:rsidRDefault="0082407E" w:rsidP="0082407E">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portador do RG nº 42.296.243-0 e CPF nº 314.342.348-00. </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sz w:val="24"/>
          <w:szCs w:val="24"/>
        </w:rPr>
      </w:pPr>
      <w:r>
        <w:rPr>
          <w:rFonts w:ascii="Arial" w:hAnsi="Arial" w:cs="Arial"/>
          <w:sz w:val="24"/>
          <w:szCs w:val="24"/>
        </w:rPr>
        <w:t>CONTRATADA:</w:t>
      </w:r>
      <w:r w:rsidR="005D70C5">
        <w:rPr>
          <w:rFonts w:ascii="Arial" w:hAnsi="Arial" w:cs="Arial"/>
          <w:sz w:val="24"/>
          <w:szCs w:val="24"/>
        </w:rPr>
        <w:t xml:space="preserve"> </w:t>
      </w:r>
      <w:proofErr w:type="spellStart"/>
      <w:r w:rsidR="00AB77F6">
        <w:rPr>
          <w:rFonts w:ascii="Arial" w:hAnsi="Arial" w:cs="Arial"/>
          <w:sz w:val="24"/>
          <w:szCs w:val="24"/>
        </w:rPr>
        <w:t>Antonio</w:t>
      </w:r>
      <w:proofErr w:type="spellEnd"/>
      <w:r w:rsidR="00AB77F6">
        <w:rPr>
          <w:rFonts w:ascii="Arial" w:hAnsi="Arial" w:cs="Arial"/>
          <w:sz w:val="24"/>
          <w:szCs w:val="24"/>
        </w:rPr>
        <w:t xml:space="preserve"> </w:t>
      </w:r>
      <w:proofErr w:type="spellStart"/>
      <w:r w:rsidR="00AB77F6">
        <w:rPr>
          <w:rFonts w:ascii="Arial" w:hAnsi="Arial" w:cs="Arial"/>
          <w:sz w:val="24"/>
          <w:szCs w:val="24"/>
        </w:rPr>
        <w:t>Amaurilio</w:t>
      </w:r>
      <w:proofErr w:type="spellEnd"/>
      <w:r w:rsidR="00AB77F6">
        <w:rPr>
          <w:rFonts w:ascii="Arial" w:hAnsi="Arial" w:cs="Arial"/>
          <w:sz w:val="24"/>
          <w:szCs w:val="24"/>
        </w:rPr>
        <w:t xml:space="preserve"> da Silva - ME</w:t>
      </w:r>
      <w:r>
        <w:rPr>
          <w:rFonts w:ascii="Arial" w:hAnsi="Arial" w:cs="Arial"/>
          <w:sz w:val="24"/>
          <w:szCs w:val="24"/>
        </w:rPr>
        <w:t xml:space="preserve">, Inscrita no CNPJ </w:t>
      </w:r>
      <w:r w:rsidR="00AB77F6">
        <w:rPr>
          <w:rFonts w:ascii="Arial" w:hAnsi="Arial" w:cs="Arial"/>
          <w:sz w:val="24"/>
          <w:szCs w:val="24"/>
        </w:rPr>
        <w:t>26.729.148/0001-55</w:t>
      </w:r>
      <w:r w:rsidR="0066374C">
        <w:rPr>
          <w:rFonts w:ascii="Arial" w:hAnsi="Arial" w:cs="Arial"/>
          <w:sz w:val="24"/>
          <w:szCs w:val="24"/>
        </w:rPr>
        <w:t>,</w:t>
      </w:r>
      <w:r>
        <w:rPr>
          <w:rFonts w:ascii="Arial" w:hAnsi="Arial" w:cs="Arial"/>
          <w:sz w:val="24"/>
          <w:szCs w:val="24"/>
        </w:rPr>
        <w:t xml:space="preserve"> Inscrição Estadual nº </w:t>
      </w:r>
      <w:r w:rsidR="00AB77F6">
        <w:rPr>
          <w:rFonts w:ascii="Arial" w:hAnsi="Arial" w:cs="Arial"/>
          <w:sz w:val="24"/>
          <w:szCs w:val="24"/>
        </w:rPr>
        <w:t>417.464.685.110</w:t>
      </w:r>
      <w:r>
        <w:rPr>
          <w:rFonts w:ascii="Arial" w:hAnsi="Arial" w:cs="Arial"/>
          <w:sz w:val="24"/>
          <w:szCs w:val="24"/>
        </w:rPr>
        <w:t>, estabelecida à</w:t>
      </w:r>
      <w:r w:rsidR="0066374C">
        <w:rPr>
          <w:rFonts w:ascii="Arial" w:hAnsi="Arial" w:cs="Arial"/>
          <w:sz w:val="24"/>
          <w:szCs w:val="24"/>
        </w:rPr>
        <w:t xml:space="preserve"> Rua</w:t>
      </w:r>
      <w:r w:rsidR="005D70C5">
        <w:rPr>
          <w:rFonts w:ascii="Arial" w:hAnsi="Arial" w:cs="Arial"/>
          <w:sz w:val="24"/>
          <w:szCs w:val="24"/>
        </w:rPr>
        <w:t xml:space="preserve"> </w:t>
      </w:r>
      <w:proofErr w:type="spellStart"/>
      <w:r w:rsidR="00AB77F6">
        <w:rPr>
          <w:rFonts w:ascii="Arial" w:hAnsi="Arial" w:cs="Arial"/>
          <w:sz w:val="24"/>
          <w:szCs w:val="24"/>
        </w:rPr>
        <w:t>Vito</w:t>
      </w:r>
      <w:proofErr w:type="spellEnd"/>
      <w:r w:rsidR="00AB77F6">
        <w:rPr>
          <w:rFonts w:ascii="Arial" w:hAnsi="Arial" w:cs="Arial"/>
          <w:sz w:val="24"/>
          <w:szCs w:val="24"/>
        </w:rPr>
        <w:t xml:space="preserve"> Modesto </w:t>
      </w:r>
      <w:proofErr w:type="spellStart"/>
      <w:r w:rsidR="00AB77F6">
        <w:rPr>
          <w:rFonts w:ascii="Arial" w:hAnsi="Arial" w:cs="Arial"/>
          <w:sz w:val="24"/>
          <w:szCs w:val="24"/>
        </w:rPr>
        <w:t>Mastrarosa</w:t>
      </w:r>
      <w:proofErr w:type="spellEnd"/>
      <w:r w:rsidR="00AB77F6">
        <w:rPr>
          <w:rFonts w:ascii="Arial" w:hAnsi="Arial" w:cs="Arial"/>
          <w:sz w:val="24"/>
          <w:szCs w:val="24"/>
        </w:rPr>
        <w:t>. Nº 512,</w:t>
      </w:r>
      <w:r>
        <w:rPr>
          <w:rFonts w:ascii="Arial" w:hAnsi="Arial" w:cs="Arial"/>
          <w:sz w:val="24"/>
          <w:szCs w:val="24"/>
        </w:rPr>
        <w:t xml:space="preserve"> </w:t>
      </w:r>
      <w:proofErr w:type="gramStart"/>
      <w:r>
        <w:rPr>
          <w:rFonts w:ascii="Arial" w:hAnsi="Arial" w:cs="Arial"/>
          <w:sz w:val="24"/>
          <w:szCs w:val="24"/>
        </w:rPr>
        <w:t>bairro</w:t>
      </w:r>
      <w:r w:rsidR="0066374C">
        <w:rPr>
          <w:rFonts w:ascii="Arial" w:hAnsi="Arial" w:cs="Arial"/>
          <w:sz w:val="24"/>
          <w:szCs w:val="24"/>
        </w:rPr>
        <w:t xml:space="preserve"> </w:t>
      </w:r>
      <w:r w:rsidR="00AB77F6">
        <w:rPr>
          <w:rFonts w:ascii="Arial" w:hAnsi="Arial" w:cs="Arial"/>
          <w:sz w:val="24"/>
          <w:szCs w:val="24"/>
        </w:rPr>
        <w:t xml:space="preserve"> Jardim</w:t>
      </w:r>
      <w:proofErr w:type="gramEnd"/>
      <w:r w:rsidR="00AB77F6">
        <w:rPr>
          <w:rFonts w:ascii="Arial" w:hAnsi="Arial" w:cs="Arial"/>
          <w:sz w:val="24"/>
          <w:szCs w:val="24"/>
        </w:rPr>
        <w:t xml:space="preserve"> São Luiz</w:t>
      </w:r>
      <w:r>
        <w:rPr>
          <w:rFonts w:ascii="Arial" w:hAnsi="Arial" w:cs="Arial"/>
          <w:sz w:val="24"/>
          <w:szCs w:val="24"/>
        </w:rPr>
        <w:t xml:space="preserve">, CEP: </w:t>
      </w:r>
      <w:r w:rsidR="00AB77F6">
        <w:rPr>
          <w:rFonts w:ascii="Arial" w:hAnsi="Arial" w:cs="Arial"/>
          <w:sz w:val="24"/>
          <w:szCs w:val="24"/>
        </w:rPr>
        <w:t>13.487-001</w:t>
      </w:r>
      <w:r>
        <w:rPr>
          <w:rFonts w:ascii="Arial" w:hAnsi="Arial" w:cs="Arial"/>
          <w:sz w:val="24"/>
          <w:szCs w:val="24"/>
        </w:rPr>
        <w:t xml:space="preserve">, </w:t>
      </w:r>
      <w:r w:rsidR="00AB77F6">
        <w:rPr>
          <w:rFonts w:ascii="Arial" w:hAnsi="Arial" w:cs="Arial"/>
          <w:sz w:val="24"/>
          <w:szCs w:val="24"/>
        </w:rPr>
        <w:t>Limeira</w:t>
      </w:r>
      <w:r w:rsidR="0066374C">
        <w:rPr>
          <w:rFonts w:ascii="Arial" w:hAnsi="Arial" w:cs="Arial"/>
          <w:sz w:val="24"/>
          <w:szCs w:val="24"/>
        </w:rPr>
        <w:t xml:space="preserve">, </w:t>
      </w:r>
      <w:r>
        <w:rPr>
          <w:rFonts w:ascii="Arial" w:hAnsi="Arial" w:cs="Arial"/>
          <w:sz w:val="24"/>
          <w:szCs w:val="24"/>
        </w:rPr>
        <w:t xml:space="preserve">neste ato representada pelo Senhor </w:t>
      </w:r>
      <w:proofErr w:type="spellStart"/>
      <w:r w:rsidR="004458CA">
        <w:rPr>
          <w:rFonts w:ascii="Arial" w:hAnsi="Arial" w:cs="Arial"/>
          <w:sz w:val="24"/>
          <w:szCs w:val="24"/>
        </w:rPr>
        <w:t>Antonio</w:t>
      </w:r>
      <w:proofErr w:type="spellEnd"/>
      <w:r w:rsidR="004458CA">
        <w:rPr>
          <w:rFonts w:ascii="Arial" w:hAnsi="Arial" w:cs="Arial"/>
          <w:sz w:val="24"/>
          <w:szCs w:val="24"/>
        </w:rPr>
        <w:t xml:space="preserve"> </w:t>
      </w:r>
      <w:proofErr w:type="spellStart"/>
      <w:r w:rsidR="004458CA">
        <w:rPr>
          <w:rFonts w:ascii="Arial" w:hAnsi="Arial" w:cs="Arial"/>
          <w:sz w:val="24"/>
          <w:szCs w:val="24"/>
        </w:rPr>
        <w:t>Amaurilio</w:t>
      </w:r>
      <w:proofErr w:type="spellEnd"/>
      <w:r w:rsidR="004458CA">
        <w:rPr>
          <w:rFonts w:ascii="Arial" w:hAnsi="Arial" w:cs="Arial"/>
          <w:sz w:val="24"/>
          <w:szCs w:val="24"/>
        </w:rPr>
        <w:t xml:space="preserve"> da Silva</w:t>
      </w:r>
      <w:r w:rsidR="00780DD1">
        <w:rPr>
          <w:rFonts w:ascii="Arial" w:hAnsi="Arial" w:cs="Arial"/>
          <w:sz w:val="24"/>
          <w:szCs w:val="24"/>
        </w:rPr>
        <w:t xml:space="preserve">, </w:t>
      </w:r>
      <w:r>
        <w:rPr>
          <w:rFonts w:ascii="Arial" w:hAnsi="Arial" w:cs="Arial"/>
          <w:sz w:val="24"/>
          <w:szCs w:val="24"/>
        </w:rPr>
        <w:t>portador do RG nº</w:t>
      </w:r>
      <w:r w:rsidR="0066374C">
        <w:rPr>
          <w:rFonts w:ascii="Arial" w:hAnsi="Arial" w:cs="Arial"/>
          <w:sz w:val="24"/>
          <w:szCs w:val="24"/>
        </w:rPr>
        <w:t xml:space="preserve"> </w:t>
      </w:r>
      <w:r w:rsidR="004458CA">
        <w:rPr>
          <w:rFonts w:ascii="Arial" w:hAnsi="Arial" w:cs="Arial"/>
          <w:sz w:val="24"/>
          <w:szCs w:val="24"/>
        </w:rPr>
        <w:t>15.235.152-8</w:t>
      </w:r>
      <w:r w:rsidR="0066374C">
        <w:rPr>
          <w:rFonts w:ascii="Arial" w:hAnsi="Arial" w:cs="Arial"/>
          <w:sz w:val="24"/>
          <w:szCs w:val="24"/>
        </w:rPr>
        <w:t xml:space="preserve"> </w:t>
      </w:r>
      <w:r>
        <w:rPr>
          <w:rFonts w:ascii="Arial" w:hAnsi="Arial" w:cs="Arial"/>
          <w:sz w:val="24"/>
          <w:szCs w:val="24"/>
        </w:rPr>
        <w:t xml:space="preserve">e CPF nº </w:t>
      </w:r>
      <w:r w:rsidR="004458CA">
        <w:rPr>
          <w:rFonts w:ascii="Arial" w:hAnsi="Arial" w:cs="Arial"/>
          <w:sz w:val="24"/>
          <w:szCs w:val="24"/>
        </w:rPr>
        <w:t>016.396.998-13</w:t>
      </w:r>
      <w:r w:rsidR="0066374C">
        <w:rPr>
          <w:rFonts w:ascii="Arial" w:hAnsi="Arial" w:cs="Arial"/>
          <w:sz w:val="24"/>
          <w:szCs w:val="24"/>
        </w:rPr>
        <w:t>.</w:t>
      </w:r>
    </w:p>
    <w:p w:rsidR="0082407E" w:rsidRDefault="0082407E" w:rsidP="0082407E">
      <w:pPr>
        <w:jc w:val="both"/>
        <w:rPr>
          <w:rFonts w:ascii="Arial" w:hAnsi="Arial" w:cs="Arial"/>
          <w:sz w:val="24"/>
          <w:szCs w:val="24"/>
        </w:rPr>
      </w:pPr>
    </w:p>
    <w:p w:rsidR="0082407E" w:rsidRDefault="0082407E" w:rsidP="0082407E">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O presente Contrato tem como finalidade o Fornecimento parcelado materiais descartáveis para a Câmara de Vereadores de Piracicaba, conforme especificações a seguir:</w:t>
      </w:r>
    </w:p>
    <w:p w:rsidR="004458CA" w:rsidRDefault="004458CA" w:rsidP="004458CA">
      <w:pPr>
        <w:jc w:val="center"/>
        <w:rPr>
          <w:sz w:val="24"/>
          <w:szCs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850"/>
        <w:gridCol w:w="3827"/>
        <w:gridCol w:w="1276"/>
        <w:gridCol w:w="992"/>
        <w:gridCol w:w="1001"/>
      </w:tblGrid>
      <w:tr w:rsidR="004458CA" w:rsidRPr="006668A8" w:rsidTr="004458CA">
        <w:tc>
          <w:tcPr>
            <w:tcW w:w="675" w:type="dxa"/>
            <w:shd w:val="clear" w:color="auto" w:fill="E0E0E0"/>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Item</w:t>
            </w:r>
          </w:p>
        </w:tc>
        <w:tc>
          <w:tcPr>
            <w:tcW w:w="880" w:type="dxa"/>
            <w:shd w:val="clear" w:color="auto" w:fill="E0E0E0"/>
          </w:tcPr>
          <w:p w:rsidR="004458CA" w:rsidRPr="006668A8" w:rsidRDefault="004458CA" w:rsidP="004C577A">
            <w:pPr>
              <w:suppressAutoHyphens/>
              <w:rPr>
                <w:rFonts w:ascii="Arial" w:hAnsi="Arial" w:cs="Arial"/>
                <w:sz w:val="22"/>
                <w:szCs w:val="22"/>
              </w:rPr>
            </w:pPr>
            <w:proofErr w:type="spellStart"/>
            <w:r w:rsidRPr="006668A8">
              <w:rPr>
                <w:rFonts w:ascii="Arial" w:hAnsi="Arial" w:cs="Arial"/>
                <w:sz w:val="22"/>
                <w:szCs w:val="22"/>
              </w:rPr>
              <w:t>Qtde</w:t>
            </w:r>
            <w:proofErr w:type="spellEnd"/>
          </w:p>
        </w:tc>
        <w:tc>
          <w:tcPr>
            <w:tcW w:w="850" w:type="dxa"/>
            <w:shd w:val="clear" w:color="auto" w:fill="E0E0E0"/>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Unid.</w:t>
            </w:r>
          </w:p>
        </w:tc>
        <w:tc>
          <w:tcPr>
            <w:tcW w:w="3827" w:type="dxa"/>
            <w:shd w:val="clear" w:color="auto" w:fill="E0E0E0"/>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Descrição</w:t>
            </w:r>
          </w:p>
        </w:tc>
        <w:tc>
          <w:tcPr>
            <w:tcW w:w="1276" w:type="dxa"/>
            <w:shd w:val="clear" w:color="auto" w:fill="E0E0E0"/>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Marca</w:t>
            </w:r>
          </w:p>
        </w:tc>
        <w:tc>
          <w:tcPr>
            <w:tcW w:w="992" w:type="dxa"/>
            <w:shd w:val="clear" w:color="auto" w:fill="E0E0E0"/>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Valor</w:t>
            </w:r>
          </w:p>
          <w:p w:rsidR="004458CA" w:rsidRPr="006668A8" w:rsidRDefault="004458CA" w:rsidP="004C577A">
            <w:pPr>
              <w:suppressAutoHyphens/>
              <w:rPr>
                <w:rFonts w:ascii="Arial" w:hAnsi="Arial" w:cs="Arial"/>
                <w:sz w:val="22"/>
                <w:szCs w:val="22"/>
              </w:rPr>
            </w:pPr>
            <w:r w:rsidRPr="006668A8">
              <w:rPr>
                <w:rFonts w:ascii="Arial" w:hAnsi="Arial" w:cs="Arial"/>
                <w:sz w:val="22"/>
                <w:szCs w:val="22"/>
              </w:rPr>
              <w:t>Unitário</w:t>
            </w:r>
          </w:p>
        </w:tc>
        <w:tc>
          <w:tcPr>
            <w:tcW w:w="1001" w:type="dxa"/>
            <w:shd w:val="clear" w:color="auto" w:fill="E0E0E0"/>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Valor</w:t>
            </w:r>
          </w:p>
          <w:p w:rsidR="004458CA" w:rsidRPr="006668A8" w:rsidRDefault="004458CA" w:rsidP="004C577A">
            <w:pPr>
              <w:suppressAutoHyphens/>
              <w:rPr>
                <w:rFonts w:ascii="Arial" w:hAnsi="Arial" w:cs="Arial"/>
                <w:sz w:val="22"/>
                <w:szCs w:val="22"/>
              </w:rPr>
            </w:pPr>
            <w:r w:rsidRPr="006668A8">
              <w:rPr>
                <w:rFonts w:ascii="Arial" w:hAnsi="Arial" w:cs="Arial"/>
                <w:sz w:val="22"/>
                <w:szCs w:val="22"/>
              </w:rPr>
              <w:t>Total</w:t>
            </w:r>
          </w:p>
        </w:tc>
      </w:tr>
      <w:tr w:rsidR="004458CA" w:rsidRPr="006668A8" w:rsidTr="004458CA">
        <w:tc>
          <w:tcPr>
            <w:tcW w:w="675"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1</w:t>
            </w:r>
          </w:p>
        </w:tc>
        <w:tc>
          <w:tcPr>
            <w:tcW w:w="880"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150</w:t>
            </w:r>
          </w:p>
        </w:tc>
        <w:tc>
          <w:tcPr>
            <w:tcW w:w="850"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UN</w:t>
            </w:r>
          </w:p>
        </w:tc>
        <w:tc>
          <w:tcPr>
            <w:tcW w:w="3827"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PANO DE COPA, FELPUDO, ESTAMPADO, MEDIDAS APROXIMADAS: 45 CM x 65 CM, COMPOSIÇÃO: MÍNIMO DE 95% ALGODÃO</w:t>
            </w:r>
          </w:p>
        </w:tc>
        <w:tc>
          <w:tcPr>
            <w:tcW w:w="1276"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CAMESA</w:t>
            </w:r>
          </w:p>
        </w:tc>
        <w:tc>
          <w:tcPr>
            <w:tcW w:w="992"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3,00</w:t>
            </w:r>
          </w:p>
        </w:tc>
        <w:tc>
          <w:tcPr>
            <w:tcW w:w="1001"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450,00</w:t>
            </w:r>
          </w:p>
        </w:tc>
      </w:tr>
      <w:tr w:rsidR="004458CA" w:rsidRPr="006668A8" w:rsidTr="004458CA">
        <w:tc>
          <w:tcPr>
            <w:tcW w:w="675"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7</w:t>
            </w:r>
          </w:p>
        </w:tc>
        <w:tc>
          <w:tcPr>
            <w:tcW w:w="880"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3</w:t>
            </w:r>
            <w:r w:rsidRPr="006668A8">
              <w:rPr>
                <w:rFonts w:ascii="Arial" w:hAnsi="Arial" w:cs="Arial"/>
                <w:sz w:val="22"/>
                <w:szCs w:val="22"/>
              </w:rPr>
              <w:t>0</w:t>
            </w:r>
          </w:p>
        </w:tc>
        <w:tc>
          <w:tcPr>
            <w:tcW w:w="850"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PT</w:t>
            </w:r>
          </w:p>
        </w:tc>
        <w:tc>
          <w:tcPr>
            <w:tcW w:w="3827"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MEXEDOR PLÁSTICO TIPO REMO PARA CAFÉ, COR CRISTAL, COM APROXIMADAMENTE 9CM DE COMPRIMENTO, PACOTES COM 500 UNIDADES CADA. OBSERVAÇÃO: OS PACOTES DEVERÃO SER LACRADOS DE FÁBRICA E NÃO MANUALMENTE.</w:t>
            </w:r>
          </w:p>
        </w:tc>
        <w:tc>
          <w:tcPr>
            <w:tcW w:w="1276"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PLAST FOOD</w:t>
            </w:r>
          </w:p>
        </w:tc>
        <w:tc>
          <w:tcPr>
            <w:tcW w:w="992"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4,40</w:t>
            </w:r>
          </w:p>
        </w:tc>
        <w:tc>
          <w:tcPr>
            <w:tcW w:w="1001"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132,00</w:t>
            </w:r>
          </w:p>
        </w:tc>
      </w:tr>
      <w:tr w:rsidR="004458CA" w:rsidRPr="006668A8" w:rsidTr="004458CA">
        <w:tc>
          <w:tcPr>
            <w:tcW w:w="675"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8</w:t>
            </w:r>
          </w:p>
        </w:tc>
        <w:tc>
          <w:tcPr>
            <w:tcW w:w="880"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30</w:t>
            </w:r>
          </w:p>
        </w:tc>
        <w:tc>
          <w:tcPr>
            <w:tcW w:w="850"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RL</w:t>
            </w:r>
          </w:p>
        </w:tc>
        <w:tc>
          <w:tcPr>
            <w:tcW w:w="3827" w:type="dxa"/>
            <w:shd w:val="clear" w:color="auto" w:fill="auto"/>
          </w:tcPr>
          <w:p w:rsidR="004458CA" w:rsidRPr="006668A8" w:rsidRDefault="004458CA" w:rsidP="004C577A">
            <w:pPr>
              <w:suppressAutoHyphens/>
              <w:rPr>
                <w:rFonts w:ascii="Arial" w:hAnsi="Arial" w:cs="Arial"/>
                <w:sz w:val="22"/>
                <w:szCs w:val="22"/>
              </w:rPr>
            </w:pPr>
            <w:r w:rsidRPr="006668A8">
              <w:rPr>
                <w:rFonts w:ascii="Arial" w:hAnsi="Arial" w:cs="Arial"/>
                <w:sz w:val="22"/>
                <w:szCs w:val="22"/>
              </w:rPr>
              <w:t xml:space="preserve">SACO PLÁSTICO TRANSPARENTE, PICOTADO, DE ALTA RESISTÊNCIA PARA HOTIFRUTIGRANJEIROS, NA MEDIDA: 30 CM </w:t>
            </w:r>
            <w:proofErr w:type="gramStart"/>
            <w:r w:rsidRPr="006668A8">
              <w:rPr>
                <w:rFonts w:ascii="Arial" w:hAnsi="Arial" w:cs="Arial"/>
                <w:sz w:val="22"/>
                <w:szCs w:val="22"/>
              </w:rPr>
              <w:t>x  40</w:t>
            </w:r>
            <w:proofErr w:type="gramEnd"/>
            <w:r w:rsidRPr="006668A8">
              <w:rPr>
                <w:rFonts w:ascii="Arial" w:hAnsi="Arial" w:cs="Arial"/>
                <w:sz w:val="22"/>
                <w:szCs w:val="22"/>
              </w:rPr>
              <w:t xml:space="preserve"> CM - BOBINAS COM 500 SACOS CADA</w:t>
            </w:r>
          </w:p>
        </w:tc>
        <w:tc>
          <w:tcPr>
            <w:tcW w:w="1276"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LIPLAST</w:t>
            </w:r>
          </w:p>
        </w:tc>
        <w:tc>
          <w:tcPr>
            <w:tcW w:w="992"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15,57</w:t>
            </w:r>
          </w:p>
        </w:tc>
        <w:tc>
          <w:tcPr>
            <w:tcW w:w="1001" w:type="dxa"/>
            <w:shd w:val="clear" w:color="auto" w:fill="auto"/>
          </w:tcPr>
          <w:p w:rsidR="004458CA" w:rsidRPr="006668A8" w:rsidRDefault="004458CA" w:rsidP="004C577A">
            <w:pPr>
              <w:suppressAutoHyphens/>
              <w:rPr>
                <w:rFonts w:ascii="Arial" w:hAnsi="Arial" w:cs="Arial"/>
                <w:sz w:val="22"/>
                <w:szCs w:val="22"/>
              </w:rPr>
            </w:pPr>
            <w:r>
              <w:rPr>
                <w:rFonts w:ascii="Arial" w:hAnsi="Arial" w:cs="Arial"/>
                <w:sz w:val="22"/>
                <w:szCs w:val="22"/>
              </w:rPr>
              <w:t>467,10</w:t>
            </w:r>
          </w:p>
        </w:tc>
      </w:tr>
    </w:tbl>
    <w:p w:rsidR="0082407E" w:rsidRDefault="0082407E" w:rsidP="0082407E">
      <w:pPr>
        <w:rPr>
          <w:rFonts w:ascii="Arial" w:hAnsi="Arial" w:cs="Arial"/>
          <w:sz w:val="22"/>
          <w:szCs w:val="22"/>
        </w:rPr>
      </w:pPr>
    </w:p>
    <w:p w:rsidR="0082407E" w:rsidRDefault="0082407E" w:rsidP="0082407E">
      <w:pPr>
        <w:rPr>
          <w:rFonts w:ascii="Arial" w:hAnsi="Arial" w:cs="Arial"/>
          <w:sz w:val="22"/>
          <w:szCs w:val="22"/>
        </w:rPr>
      </w:pPr>
    </w:p>
    <w:p w:rsidR="0082407E" w:rsidRDefault="0082407E" w:rsidP="0082407E">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CONTRATADA o valor total de R$ </w:t>
      </w:r>
      <w:r w:rsidR="004458CA">
        <w:rPr>
          <w:rFonts w:ascii="Arial" w:hAnsi="Arial" w:cs="Arial"/>
          <w:sz w:val="24"/>
          <w:szCs w:val="24"/>
        </w:rPr>
        <w:t>1.049,10 (</w:t>
      </w:r>
      <w:proofErr w:type="gramStart"/>
      <w:r w:rsidR="004458CA">
        <w:rPr>
          <w:rFonts w:ascii="Arial" w:hAnsi="Arial" w:cs="Arial"/>
          <w:sz w:val="24"/>
          <w:szCs w:val="24"/>
        </w:rPr>
        <w:t>mil quatrocentos e quarenta</w:t>
      </w:r>
      <w:proofErr w:type="gramEnd"/>
      <w:r w:rsidR="004458CA">
        <w:rPr>
          <w:rFonts w:ascii="Arial" w:hAnsi="Arial" w:cs="Arial"/>
          <w:sz w:val="24"/>
          <w:szCs w:val="24"/>
        </w:rPr>
        <w:t xml:space="preserve"> e nove reais e dez centavos).</w:t>
      </w:r>
    </w:p>
    <w:p w:rsidR="0082407E" w:rsidRDefault="0082407E" w:rsidP="0082407E">
      <w:pPr>
        <w:ind w:left="709" w:hanging="709"/>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lastRenderedPageBreak/>
        <w:t>2.  CLÁUSULA SEGUNDA - DOS RECURSOS FINANCEIROS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3. CLÁUSULA TERCEIRA - SUPORTE LEGAL</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sz w:val="24"/>
          <w:szCs w:val="24"/>
        </w:rPr>
        <w:t>Este Contrato é regulado pelos seguintes dispositivos legais:</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82407E" w:rsidRDefault="0082407E" w:rsidP="0082407E">
      <w:pPr>
        <w:jc w:val="both"/>
        <w:rPr>
          <w:rFonts w:ascii="Arial" w:hAnsi="Arial" w:cs="Arial"/>
          <w:b/>
          <w:sz w:val="24"/>
          <w:szCs w:val="24"/>
        </w:rPr>
      </w:pPr>
      <w:r>
        <w:rPr>
          <w:rFonts w:ascii="Arial" w:hAnsi="Arial" w:cs="Arial"/>
          <w:b/>
          <w:sz w:val="24"/>
          <w:szCs w:val="24"/>
        </w:rPr>
        <w:t>4. CLÁUSULA QUARTA - DA ADMINISTRAÇÃO E DO PRAZO DE VIGÊNCIA DO CONTRATO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82407E" w:rsidRDefault="0082407E" w:rsidP="0082407E">
      <w:pPr>
        <w:ind w:left="-142"/>
        <w:jc w:val="both"/>
        <w:rPr>
          <w:rFonts w:ascii="Arial" w:hAnsi="Arial" w:cs="Arial"/>
          <w:b/>
          <w:sz w:val="24"/>
          <w:szCs w:val="24"/>
        </w:rPr>
      </w:pPr>
    </w:p>
    <w:p w:rsidR="0082407E" w:rsidRDefault="0082407E" w:rsidP="0082407E">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O presente contrato terá vigência </w:t>
      </w:r>
      <w:r w:rsidR="0066374C">
        <w:rPr>
          <w:rFonts w:ascii="Arial" w:hAnsi="Arial" w:cs="Arial"/>
          <w:sz w:val="24"/>
          <w:szCs w:val="24"/>
        </w:rPr>
        <w:t xml:space="preserve">de 15 de maio de 2017 </w:t>
      </w:r>
      <w:r>
        <w:rPr>
          <w:rFonts w:ascii="Arial" w:hAnsi="Arial" w:cs="Arial"/>
          <w:sz w:val="24"/>
          <w:szCs w:val="24"/>
        </w:rPr>
        <w:t>até 31 de dezembro de 2017.</w:t>
      </w:r>
    </w:p>
    <w:p w:rsidR="0082407E" w:rsidRDefault="0082407E" w:rsidP="0082407E">
      <w:pPr>
        <w:tabs>
          <w:tab w:val="center" w:pos="3424"/>
        </w:tabs>
        <w:jc w:val="both"/>
        <w:rPr>
          <w:rFonts w:ascii="Arial" w:hAnsi="Arial" w:cs="Arial"/>
          <w:b/>
          <w:sz w:val="24"/>
          <w:szCs w:val="24"/>
        </w:rPr>
      </w:pPr>
    </w:p>
    <w:p w:rsidR="0082407E" w:rsidRDefault="0082407E" w:rsidP="0082407E">
      <w:pPr>
        <w:tabs>
          <w:tab w:val="center" w:pos="3424"/>
        </w:tabs>
        <w:jc w:val="both"/>
        <w:rPr>
          <w:rFonts w:ascii="Arial" w:hAnsi="Arial" w:cs="Arial"/>
          <w:b/>
          <w:sz w:val="24"/>
          <w:szCs w:val="24"/>
        </w:rPr>
      </w:pPr>
      <w:r>
        <w:rPr>
          <w:rFonts w:ascii="Arial" w:hAnsi="Arial" w:cs="Arial"/>
          <w:b/>
          <w:sz w:val="24"/>
          <w:szCs w:val="24"/>
        </w:rPr>
        <w:t>5. CLÁUSULA QUINTA - DO PESSOAL</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82407E" w:rsidRDefault="0082407E" w:rsidP="0082407E">
      <w:pPr>
        <w:jc w:val="both"/>
        <w:rPr>
          <w:rFonts w:ascii="Arial" w:hAnsi="Arial" w:cs="Arial"/>
          <w:b/>
          <w:sz w:val="24"/>
          <w:szCs w:val="24"/>
        </w:rPr>
      </w:pPr>
    </w:p>
    <w:p w:rsidR="0082407E" w:rsidRDefault="0082407E" w:rsidP="0082407E">
      <w:pPr>
        <w:widowControl w:val="0"/>
        <w:numPr>
          <w:ilvl w:val="0"/>
          <w:numId w:val="2"/>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82407E" w:rsidRDefault="0082407E" w:rsidP="0082407E">
      <w:pPr>
        <w:jc w:val="both"/>
        <w:rPr>
          <w:rFonts w:ascii="Arial" w:hAnsi="Arial" w:cs="Arial"/>
          <w:b/>
          <w:sz w:val="24"/>
          <w:szCs w:val="24"/>
        </w:rPr>
      </w:pPr>
    </w:p>
    <w:p w:rsidR="0082407E" w:rsidRDefault="0082407E" w:rsidP="0082407E">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82407E" w:rsidRDefault="0082407E" w:rsidP="0082407E">
      <w:pPr>
        <w:ind w:firstLine="709"/>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lastRenderedPageBreak/>
        <w:t xml:space="preserve">6.2.1. </w:t>
      </w:r>
      <w:r>
        <w:rPr>
          <w:rFonts w:ascii="Arial" w:hAnsi="Arial" w:cs="Arial"/>
          <w:sz w:val="24"/>
          <w:szCs w:val="24"/>
        </w:rPr>
        <w:t>O recebimento que trata o item acima, far-se-á mediante recibo;</w:t>
      </w:r>
    </w:p>
    <w:p w:rsidR="0082407E" w:rsidRDefault="0082407E" w:rsidP="0082407E">
      <w:pPr>
        <w:ind w:firstLine="1440"/>
        <w:jc w:val="both"/>
        <w:rPr>
          <w:rFonts w:ascii="Arial" w:hAnsi="Arial" w:cs="Arial"/>
          <w:sz w:val="24"/>
          <w:szCs w:val="24"/>
        </w:rPr>
      </w:pPr>
    </w:p>
    <w:p w:rsidR="0082407E" w:rsidRDefault="0082407E" w:rsidP="0082407E">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82407E" w:rsidRDefault="0082407E" w:rsidP="0082407E">
      <w:pPr>
        <w:tabs>
          <w:tab w:val="left" w:pos="0"/>
        </w:tabs>
        <w:ind w:firstLine="1418"/>
        <w:jc w:val="both"/>
        <w:rPr>
          <w:rFonts w:ascii="Arial" w:hAnsi="Arial" w:cs="Arial"/>
          <w:sz w:val="24"/>
          <w:szCs w:val="24"/>
        </w:rPr>
      </w:pPr>
    </w:p>
    <w:p w:rsidR="0082407E" w:rsidRDefault="0082407E" w:rsidP="0082407E">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82407E" w:rsidRDefault="0082407E" w:rsidP="0082407E">
      <w:pPr>
        <w:tabs>
          <w:tab w:val="left" w:pos="0"/>
        </w:tabs>
        <w:jc w:val="both"/>
        <w:rPr>
          <w:rFonts w:ascii="Arial" w:hAnsi="Arial" w:cs="Arial"/>
          <w:sz w:val="24"/>
          <w:szCs w:val="24"/>
        </w:rPr>
      </w:pPr>
    </w:p>
    <w:p w:rsidR="0082407E" w:rsidRDefault="0082407E" w:rsidP="0082407E">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w:t>
      </w:r>
    </w:p>
    <w:p w:rsidR="0082407E" w:rsidRDefault="0082407E" w:rsidP="0082407E">
      <w:pPr>
        <w:ind w:firstLine="14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7. CLÁUSULA SÉTIMA - DOS PAGAMENTOS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w:t>
      </w:r>
      <w:r>
        <w:rPr>
          <w:rFonts w:ascii="Arial" w:hAnsi="Arial" w:cs="Arial"/>
          <w:sz w:val="24"/>
          <w:szCs w:val="24"/>
        </w:rPr>
        <w:lastRenderedPageBreak/>
        <w:t>efetivo adimplemento do fornecimento, será calculada com base no INPC/IBGE, conforme legislação pertinente.</w:t>
      </w:r>
    </w:p>
    <w:p w:rsidR="0082407E" w:rsidRDefault="0082407E" w:rsidP="0082407E">
      <w:pPr>
        <w:ind w:firstLine="720"/>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8. CLÁUSULA OITAVA - DO REAJUSTE</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9. CLÁUSULA NONA - DA RESCISÃO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10. CLÁUSULA DÉCIMA - DAS SANÇÕES ADMINISTRATIVAS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82407E" w:rsidRDefault="0082407E" w:rsidP="0082407E">
      <w:pPr>
        <w:ind w:left="720" w:firstLine="720"/>
        <w:jc w:val="both"/>
        <w:rPr>
          <w:rFonts w:ascii="Arial" w:hAnsi="Arial" w:cs="Arial"/>
          <w:b/>
          <w:sz w:val="24"/>
          <w:szCs w:val="24"/>
        </w:rPr>
      </w:pPr>
    </w:p>
    <w:p w:rsidR="0082407E" w:rsidRDefault="0082407E" w:rsidP="0082407E">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82407E" w:rsidRDefault="0082407E" w:rsidP="0082407E">
      <w:pPr>
        <w:ind w:firstLine="14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82407E" w:rsidRDefault="0082407E" w:rsidP="0082407E">
      <w:pPr>
        <w:ind w:firstLine="5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82407E" w:rsidRDefault="0082407E" w:rsidP="0082407E">
      <w:pPr>
        <w:ind w:firstLine="144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82407E" w:rsidRDefault="0082407E" w:rsidP="0082407E">
      <w:pPr>
        <w:spacing w:line="280" w:lineRule="exact"/>
        <w:ind w:firstLine="720"/>
        <w:jc w:val="both"/>
        <w:rPr>
          <w:rFonts w:ascii="Arial" w:hAnsi="Arial" w:cs="Arial"/>
          <w:b/>
          <w:sz w:val="24"/>
          <w:szCs w:val="24"/>
        </w:rPr>
      </w:pPr>
    </w:p>
    <w:p w:rsidR="0082407E" w:rsidRDefault="0082407E" w:rsidP="0082407E">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82407E" w:rsidRDefault="0082407E" w:rsidP="0082407E">
      <w:pPr>
        <w:spacing w:line="280" w:lineRule="exact"/>
        <w:ind w:firstLine="720"/>
        <w:jc w:val="both"/>
        <w:rPr>
          <w:rFonts w:ascii="Arial" w:hAnsi="Arial" w:cs="Arial"/>
          <w:sz w:val="24"/>
          <w:szCs w:val="24"/>
        </w:rPr>
      </w:pPr>
    </w:p>
    <w:p w:rsidR="0082407E" w:rsidRDefault="0082407E" w:rsidP="0082407E">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w:t>
      </w:r>
      <w:r>
        <w:rPr>
          <w:rFonts w:ascii="Arial" w:hAnsi="Arial" w:cs="Arial"/>
          <w:sz w:val="24"/>
        </w:rPr>
        <w:lastRenderedPageBreak/>
        <w:t>aplicação da sanção de suspensão temporária de participação em licitação e impedimento de contratar com a Administração, por prazo não superior a 2 (dois) anos, garantido o direito prévio da citação e da ampla defesa.</w:t>
      </w:r>
    </w:p>
    <w:p w:rsidR="0082407E" w:rsidRDefault="0082407E" w:rsidP="0082407E">
      <w:pPr>
        <w:spacing w:line="280" w:lineRule="exact"/>
        <w:jc w:val="both"/>
        <w:rPr>
          <w:rFonts w:ascii="Arial" w:hAnsi="Arial" w:cs="Arial"/>
          <w:sz w:val="24"/>
        </w:rPr>
      </w:pPr>
    </w:p>
    <w:p w:rsidR="0082407E" w:rsidRDefault="0082407E" w:rsidP="0082407E">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82407E" w:rsidRDefault="0082407E" w:rsidP="0082407E">
      <w:pPr>
        <w:spacing w:line="280" w:lineRule="exact"/>
        <w:ind w:firstLine="720"/>
        <w:jc w:val="both"/>
        <w:rPr>
          <w:rFonts w:ascii="Arial" w:hAnsi="Arial" w:cs="Arial"/>
          <w:sz w:val="24"/>
          <w:szCs w:val="24"/>
        </w:rPr>
      </w:pPr>
    </w:p>
    <w:p w:rsidR="0082407E" w:rsidRDefault="0082407E" w:rsidP="0082407E">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82407E" w:rsidRDefault="0082407E" w:rsidP="0082407E">
      <w:pPr>
        <w:spacing w:line="280" w:lineRule="exact"/>
        <w:ind w:firstLine="720"/>
        <w:jc w:val="both"/>
        <w:rPr>
          <w:rFonts w:ascii="Arial" w:hAnsi="Arial" w:cs="Arial"/>
          <w:sz w:val="24"/>
          <w:szCs w:val="24"/>
        </w:rPr>
      </w:pPr>
    </w:p>
    <w:p w:rsidR="0082407E" w:rsidRDefault="0082407E" w:rsidP="0082407E">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82407E" w:rsidRDefault="0082407E" w:rsidP="0082407E">
      <w:pPr>
        <w:ind w:firstLine="567"/>
        <w:jc w:val="both"/>
        <w:rPr>
          <w:rFonts w:ascii="Arial" w:hAnsi="Arial" w:cs="Arial"/>
          <w:sz w:val="24"/>
          <w:szCs w:val="24"/>
        </w:rPr>
      </w:pPr>
    </w:p>
    <w:p w:rsidR="0082407E" w:rsidRDefault="0082407E" w:rsidP="0082407E">
      <w:pPr>
        <w:jc w:val="both"/>
        <w:rPr>
          <w:rFonts w:ascii="Arial" w:hAnsi="Arial" w:cs="Arial"/>
          <w:b/>
          <w:sz w:val="24"/>
        </w:rPr>
      </w:pPr>
      <w:r>
        <w:rPr>
          <w:rFonts w:ascii="Arial" w:hAnsi="Arial" w:cs="Arial"/>
          <w:b/>
          <w:sz w:val="24"/>
        </w:rPr>
        <w:t>11 - CLÁUSULA DÉCIMA PRIMEIRA - DA VINCULAÇÃO AO PROCESSO LICITATÓRIO</w:t>
      </w:r>
    </w:p>
    <w:p w:rsidR="0082407E" w:rsidRDefault="0082407E" w:rsidP="0082407E">
      <w:pPr>
        <w:jc w:val="both"/>
        <w:rPr>
          <w:rFonts w:ascii="Arial" w:hAnsi="Arial" w:cs="Arial"/>
          <w:b/>
          <w:sz w:val="24"/>
        </w:rPr>
      </w:pPr>
    </w:p>
    <w:p w:rsidR="0082407E" w:rsidRDefault="0082407E" w:rsidP="0082407E">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423/2017 - Pregão Presencial n.º 13/2017</w:t>
      </w:r>
    </w:p>
    <w:p w:rsidR="0082407E" w:rsidRDefault="0082407E" w:rsidP="0082407E">
      <w:pPr>
        <w:ind w:firstLine="567"/>
        <w:jc w:val="both"/>
        <w:rPr>
          <w:rFonts w:ascii="Arial" w:hAnsi="Arial" w:cs="Arial"/>
          <w:sz w:val="24"/>
          <w:szCs w:val="24"/>
        </w:rPr>
      </w:pPr>
    </w:p>
    <w:p w:rsidR="0082407E" w:rsidRDefault="0082407E" w:rsidP="0082407E">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82407E" w:rsidRDefault="0082407E" w:rsidP="0082407E">
      <w:pPr>
        <w:jc w:val="both"/>
        <w:rPr>
          <w:rFonts w:ascii="Arial" w:hAnsi="Arial" w:cs="Arial"/>
          <w:sz w:val="24"/>
          <w:szCs w:val="24"/>
        </w:rPr>
      </w:pPr>
    </w:p>
    <w:p w:rsidR="0082407E" w:rsidRDefault="0066374C" w:rsidP="0082407E">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Piracicaba,  15</w:t>
      </w:r>
      <w:proofErr w:type="gramEnd"/>
      <w:r>
        <w:rPr>
          <w:rFonts w:ascii="Arial" w:hAnsi="Arial" w:cs="Arial"/>
          <w:sz w:val="24"/>
          <w:szCs w:val="24"/>
        </w:rPr>
        <w:t xml:space="preserve"> </w:t>
      </w:r>
      <w:r w:rsidR="0082407E">
        <w:rPr>
          <w:rFonts w:ascii="Arial" w:hAnsi="Arial" w:cs="Arial"/>
          <w:sz w:val="24"/>
          <w:szCs w:val="24"/>
        </w:rPr>
        <w:t xml:space="preserve">de </w:t>
      </w:r>
      <w:r>
        <w:rPr>
          <w:rFonts w:ascii="Arial" w:hAnsi="Arial" w:cs="Arial"/>
          <w:sz w:val="24"/>
          <w:szCs w:val="24"/>
        </w:rPr>
        <w:t>maio</w:t>
      </w:r>
      <w:r w:rsidR="0082407E">
        <w:rPr>
          <w:rFonts w:ascii="Arial" w:hAnsi="Arial" w:cs="Arial"/>
          <w:sz w:val="24"/>
          <w:szCs w:val="24"/>
        </w:rPr>
        <w:t xml:space="preserve"> de 2017.</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p>
    <w:p w:rsidR="0082407E" w:rsidRDefault="0082407E" w:rsidP="0082407E">
      <w:pPr>
        <w:jc w:val="center"/>
        <w:rPr>
          <w:rFonts w:ascii="Arial" w:hAnsi="Arial" w:cs="Arial"/>
          <w:b/>
          <w:sz w:val="24"/>
          <w:szCs w:val="24"/>
        </w:rPr>
      </w:pPr>
      <w:r>
        <w:rPr>
          <w:rFonts w:ascii="Arial" w:hAnsi="Arial" w:cs="Arial"/>
          <w:b/>
          <w:sz w:val="24"/>
          <w:szCs w:val="24"/>
        </w:rPr>
        <w:t>CONTRATANTE</w:t>
      </w:r>
    </w:p>
    <w:p w:rsidR="0082407E" w:rsidRDefault="0082407E" w:rsidP="0082407E">
      <w:pPr>
        <w:jc w:val="center"/>
        <w:rPr>
          <w:rFonts w:ascii="Arial" w:hAnsi="Arial" w:cs="Arial"/>
          <w:b/>
          <w:sz w:val="24"/>
          <w:szCs w:val="24"/>
        </w:rPr>
      </w:pPr>
      <w:r>
        <w:rPr>
          <w:rFonts w:ascii="Arial" w:hAnsi="Arial" w:cs="Arial"/>
          <w:b/>
          <w:sz w:val="24"/>
          <w:szCs w:val="24"/>
        </w:rPr>
        <w:t>MATHEUS ANTONIO ERLER</w:t>
      </w:r>
    </w:p>
    <w:p w:rsidR="0082407E" w:rsidRDefault="0082407E" w:rsidP="0082407E">
      <w:pPr>
        <w:jc w:val="center"/>
        <w:rPr>
          <w:rFonts w:ascii="Arial" w:hAnsi="Arial" w:cs="Arial"/>
          <w:b/>
          <w:sz w:val="24"/>
          <w:szCs w:val="24"/>
        </w:rPr>
      </w:pPr>
      <w:r>
        <w:rPr>
          <w:rFonts w:ascii="Arial" w:hAnsi="Arial" w:cs="Arial"/>
          <w:b/>
          <w:sz w:val="24"/>
          <w:szCs w:val="24"/>
        </w:rPr>
        <w:t>Presidente da Câmara de Vereadores de Piracicaba</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p>
    <w:p w:rsidR="0082407E" w:rsidRDefault="0082407E" w:rsidP="0082407E">
      <w:pPr>
        <w:jc w:val="center"/>
        <w:rPr>
          <w:rFonts w:ascii="Arial" w:hAnsi="Arial" w:cs="Arial"/>
          <w:b/>
          <w:sz w:val="24"/>
          <w:szCs w:val="24"/>
        </w:rPr>
      </w:pPr>
      <w:r>
        <w:rPr>
          <w:rFonts w:ascii="Arial" w:hAnsi="Arial" w:cs="Arial"/>
          <w:b/>
          <w:sz w:val="24"/>
          <w:szCs w:val="24"/>
        </w:rPr>
        <w:t>CONTRATADA</w:t>
      </w:r>
    </w:p>
    <w:p w:rsidR="00780DD1" w:rsidRDefault="004458CA" w:rsidP="0066374C">
      <w:pPr>
        <w:jc w:val="center"/>
        <w:rPr>
          <w:rFonts w:ascii="Arial" w:hAnsi="Arial" w:cs="Arial"/>
          <w:b/>
          <w:sz w:val="24"/>
          <w:szCs w:val="24"/>
        </w:rPr>
      </w:pPr>
      <w:r>
        <w:rPr>
          <w:rFonts w:ascii="Arial" w:hAnsi="Arial" w:cs="Arial"/>
          <w:b/>
          <w:sz w:val="24"/>
          <w:szCs w:val="24"/>
        </w:rPr>
        <w:t xml:space="preserve">ANTONIO AMAURILIO DA SILVA – ME </w:t>
      </w:r>
    </w:p>
    <w:p w:rsidR="004458CA" w:rsidRPr="0066374C" w:rsidRDefault="004458CA" w:rsidP="0066374C">
      <w:pPr>
        <w:jc w:val="center"/>
        <w:rPr>
          <w:b/>
        </w:rPr>
      </w:pPr>
      <w:proofErr w:type="spellStart"/>
      <w:r>
        <w:rPr>
          <w:rFonts w:ascii="Arial" w:hAnsi="Arial" w:cs="Arial"/>
          <w:b/>
          <w:sz w:val="24"/>
          <w:szCs w:val="24"/>
        </w:rPr>
        <w:t>Antonio</w:t>
      </w:r>
      <w:proofErr w:type="spellEnd"/>
      <w:r>
        <w:rPr>
          <w:rFonts w:ascii="Arial" w:hAnsi="Arial" w:cs="Arial"/>
          <w:b/>
          <w:sz w:val="24"/>
          <w:szCs w:val="24"/>
        </w:rPr>
        <w:t xml:space="preserve"> </w:t>
      </w:r>
      <w:proofErr w:type="spellStart"/>
      <w:r>
        <w:rPr>
          <w:rFonts w:ascii="Arial" w:hAnsi="Arial" w:cs="Arial"/>
          <w:b/>
          <w:sz w:val="24"/>
          <w:szCs w:val="24"/>
        </w:rPr>
        <w:t>Amaurilio</w:t>
      </w:r>
      <w:proofErr w:type="spellEnd"/>
      <w:r>
        <w:rPr>
          <w:rFonts w:ascii="Arial" w:hAnsi="Arial" w:cs="Arial"/>
          <w:b/>
          <w:sz w:val="24"/>
          <w:szCs w:val="24"/>
        </w:rPr>
        <w:t xml:space="preserve"> da Silva</w:t>
      </w:r>
    </w:p>
    <w:sectPr w:rsidR="004458CA" w:rsidRPr="0066374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81" w:rsidRDefault="00D11281" w:rsidP="00D11281">
      <w:r>
        <w:separator/>
      </w:r>
    </w:p>
  </w:endnote>
  <w:endnote w:type="continuationSeparator" w:id="0">
    <w:p w:rsidR="00D11281" w:rsidRDefault="00D11281" w:rsidP="00D1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81" w:rsidRDefault="00D11281" w:rsidP="00D11281">
      <w:r>
        <w:separator/>
      </w:r>
    </w:p>
  </w:footnote>
  <w:footnote w:type="continuationSeparator" w:id="0">
    <w:p w:rsidR="00D11281" w:rsidRDefault="00D11281" w:rsidP="00D1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81" w:rsidRDefault="00D11281" w:rsidP="00D11281">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763E93ED" wp14:editId="59BDEEAC">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D11281" w:rsidRDefault="00D11281" w:rsidP="00D11281">
    <w:pPr>
      <w:pStyle w:val="Subttulo"/>
      <w:rPr>
        <w:sz w:val="28"/>
      </w:rPr>
    </w:pPr>
    <w:r>
      <w:rPr>
        <w:sz w:val="28"/>
      </w:rPr>
      <w:t xml:space="preserve">         Estado de São Paulo</w:t>
    </w:r>
  </w:p>
  <w:p w:rsidR="00D11281" w:rsidRDefault="00D112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7E"/>
    <w:rsid w:val="00096D6F"/>
    <w:rsid w:val="003B56EB"/>
    <w:rsid w:val="004458CA"/>
    <w:rsid w:val="005D70C5"/>
    <w:rsid w:val="0066374C"/>
    <w:rsid w:val="00780DD1"/>
    <w:rsid w:val="0082407E"/>
    <w:rsid w:val="00AB77F6"/>
    <w:rsid w:val="00D112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10F9F2-0ED5-4FC4-AE84-D6C03BAC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7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82407E"/>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D11281"/>
    <w:pPr>
      <w:tabs>
        <w:tab w:val="center" w:pos="4252"/>
        <w:tab w:val="right" w:pos="8504"/>
      </w:tabs>
    </w:pPr>
  </w:style>
  <w:style w:type="character" w:customStyle="1" w:styleId="CabealhoChar">
    <w:name w:val="Cabeçalho Char"/>
    <w:basedOn w:val="Fontepargpadro"/>
    <w:link w:val="Cabealho"/>
    <w:uiPriority w:val="99"/>
    <w:rsid w:val="00D1128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11281"/>
    <w:pPr>
      <w:tabs>
        <w:tab w:val="center" w:pos="4252"/>
        <w:tab w:val="right" w:pos="8504"/>
      </w:tabs>
    </w:pPr>
  </w:style>
  <w:style w:type="character" w:customStyle="1" w:styleId="RodapChar">
    <w:name w:val="Rodapé Char"/>
    <w:basedOn w:val="Fontepargpadro"/>
    <w:link w:val="Rodap"/>
    <w:uiPriority w:val="99"/>
    <w:rsid w:val="00D1128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D11281"/>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D11281"/>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D11281"/>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D11281"/>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3</cp:revision>
  <dcterms:created xsi:type="dcterms:W3CDTF">2017-05-10T14:58:00Z</dcterms:created>
  <dcterms:modified xsi:type="dcterms:W3CDTF">2017-05-11T12:21:00Z</dcterms:modified>
</cp:coreProperties>
</file>